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0D" w:rsidRPr="0081120D" w:rsidRDefault="0081120D" w:rsidP="0081120D">
      <w:pPr>
        <w:shd w:val="clear" w:color="auto" w:fill="FFFFFF"/>
        <w:spacing w:before="600" w:after="225" w:line="690" w:lineRule="atLeast"/>
        <w:outlineLvl w:val="0"/>
        <w:rPr>
          <w:rFonts w:ascii="Arial" w:eastAsia="Times New Roman" w:hAnsi="Arial" w:cs="Arial"/>
          <w:b/>
          <w:bCs/>
          <w:color w:val="000000"/>
          <w:spacing w:val="2"/>
          <w:kern w:val="36"/>
          <w:sz w:val="54"/>
          <w:szCs w:val="54"/>
          <w:lang w:eastAsia="ru-RU"/>
        </w:rPr>
      </w:pPr>
      <w:r w:rsidRPr="0081120D">
        <w:rPr>
          <w:rFonts w:ascii="Arial" w:eastAsia="Times New Roman" w:hAnsi="Arial" w:cs="Arial"/>
          <w:b/>
          <w:bCs/>
          <w:color w:val="000000"/>
          <w:spacing w:val="2"/>
          <w:kern w:val="36"/>
          <w:sz w:val="54"/>
          <w:szCs w:val="54"/>
          <w:lang w:eastAsia="ru-RU"/>
        </w:rPr>
        <w:t>Президентом РФ утвержден Национальный план противодействия коррупции на 2018 - 2020 годы</w:t>
      </w:r>
    </w:p>
    <w:p w:rsidR="0081120D" w:rsidRPr="0081120D" w:rsidRDefault="0081120D" w:rsidP="0081120D">
      <w:pPr>
        <w:numPr>
          <w:ilvl w:val="0"/>
          <w:numId w:val="1"/>
        </w:numPr>
        <w:shd w:val="clear" w:color="auto" w:fill="FFFFFF"/>
        <w:spacing w:after="0" w:line="240" w:lineRule="auto"/>
        <w:ind w:left="0" w:right="60"/>
        <w:textAlignment w:val="top"/>
        <w:rPr>
          <w:rFonts w:ascii="Arial" w:eastAsia="Times New Roman" w:hAnsi="Arial" w:cs="Arial"/>
          <w:color w:val="000000"/>
          <w:spacing w:val="2"/>
          <w:sz w:val="20"/>
          <w:szCs w:val="20"/>
          <w:lang w:eastAsia="ru-RU"/>
        </w:rPr>
      </w:pPr>
    </w:p>
    <w:p w:rsidR="0081120D" w:rsidRPr="0081120D" w:rsidRDefault="0081120D" w:rsidP="0081120D">
      <w:pPr>
        <w:numPr>
          <w:ilvl w:val="0"/>
          <w:numId w:val="1"/>
        </w:numPr>
        <w:shd w:val="clear" w:color="auto" w:fill="FFFFFF"/>
        <w:spacing w:after="0" w:line="240" w:lineRule="auto"/>
        <w:ind w:left="0" w:right="60"/>
        <w:textAlignment w:val="top"/>
        <w:rPr>
          <w:rFonts w:ascii="Arial" w:eastAsia="Times New Roman" w:hAnsi="Arial" w:cs="Arial"/>
          <w:color w:val="000000"/>
          <w:spacing w:val="2"/>
          <w:sz w:val="20"/>
          <w:szCs w:val="20"/>
          <w:lang w:eastAsia="ru-RU"/>
        </w:rPr>
      </w:pPr>
    </w:p>
    <w:p w:rsidR="0081120D" w:rsidRPr="0081120D" w:rsidRDefault="0081120D" w:rsidP="0081120D">
      <w:pPr>
        <w:numPr>
          <w:ilvl w:val="0"/>
          <w:numId w:val="1"/>
        </w:numPr>
        <w:shd w:val="clear" w:color="auto" w:fill="FFFFFF"/>
        <w:spacing w:after="0" w:line="240" w:lineRule="auto"/>
        <w:ind w:left="0" w:right="60"/>
        <w:textAlignment w:val="top"/>
        <w:rPr>
          <w:rFonts w:ascii="Arial" w:eastAsia="Times New Roman" w:hAnsi="Arial" w:cs="Arial"/>
          <w:color w:val="000000"/>
          <w:spacing w:val="2"/>
          <w:sz w:val="20"/>
          <w:szCs w:val="20"/>
          <w:lang w:eastAsia="ru-RU"/>
        </w:rPr>
      </w:pPr>
    </w:p>
    <w:p w:rsidR="0081120D" w:rsidRPr="0081120D" w:rsidRDefault="0081120D" w:rsidP="0081120D">
      <w:pPr>
        <w:numPr>
          <w:ilvl w:val="0"/>
          <w:numId w:val="1"/>
        </w:numPr>
        <w:shd w:val="clear" w:color="auto" w:fill="FFFFFF"/>
        <w:spacing w:after="0" w:line="240" w:lineRule="auto"/>
        <w:ind w:left="0" w:right="60"/>
        <w:textAlignment w:val="top"/>
        <w:rPr>
          <w:rFonts w:ascii="Arial" w:eastAsia="Times New Roman" w:hAnsi="Arial" w:cs="Arial"/>
          <w:color w:val="000000"/>
          <w:spacing w:val="2"/>
          <w:sz w:val="20"/>
          <w:szCs w:val="20"/>
          <w:lang w:eastAsia="ru-RU"/>
        </w:rPr>
      </w:pPr>
    </w:p>
    <w:p w:rsidR="0081120D" w:rsidRPr="0081120D" w:rsidRDefault="0081120D" w:rsidP="0081120D">
      <w:pPr>
        <w:numPr>
          <w:ilvl w:val="0"/>
          <w:numId w:val="1"/>
        </w:numPr>
        <w:shd w:val="clear" w:color="auto" w:fill="FFFFFF"/>
        <w:spacing w:after="0" w:line="240" w:lineRule="auto"/>
        <w:ind w:left="0"/>
        <w:textAlignment w:val="top"/>
        <w:rPr>
          <w:rFonts w:ascii="Arial" w:eastAsia="Times New Roman" w:hAnsi="Arial" w:cs="Arial"/>
          <w:color w:val="000000"/>
          <w:spacing w:val="2"/>
          <w:sz w:val="20"/>
          <w:szCs w:val="20"/>
          <w:lang w:eastAsia="ru-RU"/>
        </w:rPr>
      </w:pP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 </w:t>
      </w:r>
    </w:p>
    <w:bookmarkStart w:id="0" w:name="_GoBack"/>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b/>
          <w:bCs/>
          <w:color w:val="000000"/>
          <w:spacing w:val="2"/>
          <w:sz w:val="24"/>
          <w:szCs w:val="24"/>
          <w:lang w:eastAsia="ru-RU"/>
        </w:rPr>
        <w:fldChar w:fldCharType="begin"/>
      </w:r>
      <w:r w:rsidRPr="0081120D">
        <w:rPr>
          <w:rFonts w:ascii="PTSansRegular" w:eastAsia="Times New Roman" w:hAnsi="PTSansRegular" w:cs="Times New Roman"/>
          <w:b/>
          <w:bCs/>
          <w:color w:val="000000"/>
          <w:spacing w:val="2"/>
          <w:sz w:val="24"/>
          <w:szCs w:val="24"/>
          <w:lang w:eastAsia="ru-RU"/>
        </w:rPr>
        <w:instrText xml:space="preserve"> HYPERLINK "http://www.consultant.ru/document/cons_doc_LAW_301352/" </w:instrText>
      </w:r>
      <w:r w:rsidRPr="0081120D">
        <w:rPr>
          <w:rFonts w:ascii="PTSansRegular" w:eastAsia="Times New Roman" w:hAnsi="PTSansRegular" w:cs="Times New Roman"/>
          <w:b/>
          <w:bCs/>
          <w:color w:val="000000"/>
          <w:spacing w:val="2"/>
          <w:sz w:val="24"/>
          <w:szCs w:val="24"/>
          <w:lang w:eastAsia="ru-RU"/>
        </w:rPr>
        <w:fldChar w:fldCharType="separate"/>
      </w:r>
      <w:r w:rsidRPr="0081120D">
        <w:rPr>
          <w:rFonts w:ascii="PTSansRegular" w:eastAsia="Times New Roman" w:hAnsi="PTSansRegular" w:cs="Times New Roman"/>
          <w:b/>
          <w:bCs/>
          <w:color w:val="1200D4"/>
          <w:spacing w:val="2"/>
          <w:sz w:val="24"/>
          <w:szCs w:val="24"/>
          <w:lang w:eastAsia="ru-RU"/>
        </w:rPr>
        <w:t>Указ Президента РФ от 29.06.2018 N 378 "О Национальном плане противодействия коррупции на 2018 - 2020 годы"</w:t>
      </w:r>
      <w:r w:rsidRPr="0081120D">
        <w:rPr>
          <w:rFonts w:ascii="PTSansRegular" w:eastAsia="Times New Roman" w:hAnsi="PTSansRegular" w:cs="Times New Roman"/>
          <w:b/>
          <w:bCs/>
          <w:color w:val="000000"/>
          <w:spacing w:val="2"/>
          <w:sz w:val="24"/>
          <w:szCs w:val="24"/>
          <w:lang w:eastAsia="ru-RU"/>
        </w:rPr>
        <w:fldChar w:fldCharType="end"/>
      </w:r>
    </w:p>
    <w:bookmarkEnd w:id="0"/>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Мероприятия, предусмотренные Национальным планом, направлены на решение следующих основных задач:</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совершенствование системы запретов, ограничений и требований, установленных в целях противодействия коррупции;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 xml:space="preserve">совершенствование порядка осуществления </w:t>
      </w:r>
      <w:proofErr w:type="gramStart"/>
      <w:r w:rsidRPr="0081120D">
        <w:rPr>
          <w:rFonts w:ascii="PTSansRegular" w:eastAsia="Times New Roman" w:hAnsi="PTSansRegular" w:cs="Times New Roman"/>
          <w:color w:val="000000"/>
          <w:spacing w:val="2"/>
          <w:sz w:val="24"/>
          <w:szCs w:val="24"/>
          <w:lang w:eastAsia="ru-RU"/>
        </w:rPr>
        <w:t>контроля за</w:t>
      </w:r>
      <w:proofErr w:type="gramEnd"/>
      <w:r w:rsidRPr="0081120D">
        <w:rPr>
          <w:rFonts w:ascii="PTSansRegular" w:eastAsia="Times New Roman" w:hAnsi="PTSansRegular" w:cs="Times New Roman"/>
          <w:color w:val="000000"/>
          <w:spacing w:val="2"/>
          <w:sz w:val="24"/>
          <w:szCs w:val="24"/>
          <w:lang w:eastAsia="ru-RU"/>
        </w:rPr>
        <w:t xml:space="preserve"> расходами и механизма обращения в доход РФ имущества, в отношении которого не представлено сведений, подтверждающих его приобретение на законные доходы;</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обеспечение полноты и прозрачности представляемых сведений о доходах, расходах, об имуществе и обязательствах имущественного характера;</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lastRenderedPageBreak/>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Для решения поставленных задач Национальный план предусматривает конкретные направления деятельности для Правительства РФ, федеральных органов исполнительной власти, органов государственной власти субъектов РФ, Совета Федерации, Государственной Думы, Верховного Суда РФ, Счетной палаты РФ, Банка России и прочее.</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В частности, Правительству РФ необходимо в числе прочего:</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до 1 ноября 2018 г. внести в Госдуму проекты федеральных законов, предусматривающих:</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РФ и органами местного самоуправления, некоторых запретов, ограничений и требований, установленных в целях противодействия коррупции;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до 1 февраля 2019 г. представить предложения по внесению в законодательство РФ изменений, предусматривающих случаи, когда несоблюдение запретов, ограничений и требований, установленных в целях противодействия коррупции, вследствие обстоятельств непреодолимой силы не является правонарушением;</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proofErr w:type="gramStart"/>
      <w:r w:rsidRPr="0081120D">
        <w:rPr>
          <w:rFonts w:ascii="PTSansRegular" w:eastAsia="Times New Roman" w:hAnsi="PTSansRegular" w:cs="Times New Roman"/>
          <w:color w:val="000000"/>
          <w:spacing w:val="2"/>
          <w:sz w:val="24"/>
          <w:szCs w:val="24"/>
          <w:lang w:eastAsia="ru-RU"/>
        </w:rPr>
        <w:t>до 1 марта 2019 г. разработать критерии, согласно которым несоблюдение запретов, ограничений и требований, установленных в целях противодействия коррупции, будет относиться к правонарушениям, влекущим за собой увольнение со службы или с работы, либо к малозначительным правонарушениям, а также представить предложения по определению обстоятельств, смягчающих или отягчающих ответственность за несоблюдение указанных запретов, ограничений и требований, и по учету таких обстоятельств при</w:t>
      </w:r>
      <w:proofErr w:type="gramEnd"/>
      <w:r w:rsidRPr="0081120D">
        <w:rPr>
          <w:rFonts w:ascii="PTSansRegular" w:eastAsia="Times New Roman" w:hAnsi="PTSansRegular" w:cs="Times New Roman"/>
          <w:color w:val="000000"/>
          <w:spacing w:val="2"/>
          <w:sz w:val="24"/>
          <w:szCs w:val="24"/>
          <w:lang w:eastAsia="ru-RU"/>
        </w:rPr>
        <w:t xml:space="preserve"> </w:t>
      </w:r>
      <w:proofErr w:type="gramStart"/>
      <w:r w:rsidRPr="0081120D">
        <w:rPr>
          <w:rFonts w:ascii="PTSansRegular" w:eastAsia="Times New Roman" w:hAnsi="PTSansRegular" w:cs="Times New Roman"/>
          <w:color w:val="000000"/>
          <w:spacing w:val="2"/>
          <w:sz w:val="24"/>
          <w:szCs w:val="24"/>
          <w:lang w:eastAsia="ru-RU"/>
        </w:rPr>
        <w:t>применении</w:t>
      </w:r>
      <w:proofErr w:type="gramEnd"/>
      <w:r w:rsidRPr="0081120D">
        <w:rPr>
          <w:rFonts w:ascii="PTSansRegular" w:eastAsia="Times New Roman" w:hAnsi="PTSansRegular" w:cs="Times New Roman"/>
          <w:color w:val="000000"/>
          <w:spacing w:val="2"/>
          <w:sz w:val="24"/>
          <w:szCs w:val="24"/>
          <w:lang w:eastAsia="ru-RU"/>
        </w:rPr>
        <w:t xml:space="preserve"> взыскания;</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подготовить предложения о внесении в анкету, подлежащую представлению лицами, претендующими на замещение должностей государственной гражданской или муниципальной службы, изменений, касающихся указания в ней сведений о супругах своих братьев и сестер и о братьях и сестрах своих супругов, в целях выявления возможного конфликта интересов;</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рассмотреть вопросы и подготовить предложения, в частности, о целесообразности: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 N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lastRenderedPageBreak/>
        <w:t>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установления административной ответственности:</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proofErr w:type="gramStart"/>
      <w:r w:rsidRPr="0081120D">
        <w:rPr>
          <w:rFonts w:ascii="PTSansRegular" w:eastAsia="Times New Roman" w:hAnsi="PTSansRegular" w:cs="Times New Roman"/>
          <w:color w:val="000000"/>
          <w:spacing w:val="2"/>
          <w:sz w:val="24"/>
          <w:szCs w:val="24"/>
          <w:lang w:eastAsia="ru-RU"/>
        </w:rPr>
        <w:t>юридического лица, его должностных лиц - за осуществление закупки с нарушением требований, предусмотренных пунктами 7.1 и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w:t>
      </w:r>
      <w:proofErr w:type="gramEnd"/>
      <w:r w:rsidRPr="0081120D">
        <w:rPr>
          <w:rFonts w:ascii="PTSansRegular" w:eastAsia="Times New Roman" w:hAnsi="PTSansRegular" w:cs="Times New Roman"/>
          <w:color w:val="000000"/>
          <w:spacing w:val="2"/>
          <w:sz w:val="24"/>
          <w:szCs w:val="24"/>
          <w:lang w:eastAsia="ru-RU"/>
        </w:rPr>
        <w:t xml:space="preserve"> муниципальных нужд");</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 xml:space="preserve">юридического лица - за предоставление заведомо ложных сведений о </w:t>
      </w:r>
      <w:proofErr w:type="spellStart"/>
      <w:r w:rsidRPr="0081120D">
        <w:rPr>
          <w:rFonts w:ascii="PTSansRegular" w:eastAsia="Times New Roman" w:hAnsi="PTSansRegular" w:cs="Times New Roman"/>
          <w:color w:val="000000"/>
          <w:spacing w:val="2"/>
          <w:sz w:val="24"/>
          <w:szCs w:val="24"/>
          <w:lang w:eastAsia="ru-RU"/>
        </w:rPr>
        <w:t>непривлечении</w:t>
      </w:r>
      <w:proofErr w:type="spellEnd"/>
      <w:r w:rsidRPr="0081120D">
        <w:rPr>
          <w:rFonts w:ascii="PTSansRegular" w:eastAsia="Times New Roman" w:hAnsi="PTSansRegular" w:cs="Times New Roman"/>
          <w:color w:val="000000"/>
          <w:spacing w:val="2"/>
          <w:sz w:val="24"/>
          <w:szCs w:val="24"/>
          <w:lang w:eastAsia="ru-RU"/>
        </w:rPr>
        <w:t xml:space="preserve">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proofErr w:type="gramStart"/>
      <w:r w:rsidRPr="0081120D">
        <w:rPr>
          <w:rFonts w:ascii="PTSansRegular" w:eastAsia="Times New Roman" w:hAnsi="PTSansRegular" w:cs="Times New Roman"/>
          <w:color w:val="000000"/>
          <w:spacing w:val="2"/>
          <w:sz w:val="24"/>
          <w:szCs w:val="24"/>
          <w:lang w:eastAsia="ru-RU"/>
        </w:rPr>
        <w:t>Кроме того, Правительством РФ должен быть разработан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РФ об административных правонарушениях, а также рассмотрены вопросы о совершенствовании порядка привлечения иностранных юридических лиц, осуществляющих деятельность на территории РФ, к административной ответственности за нарушение требований законодательства РФ о противодействии коррупции</w:t>
      </w:r>
      <w:proofErr w:type="gramEnd"/>
      <w:r w:rsidRPr="0081120D">
        <w:rPr>
          <w:rFonts w:ascii="PTSansRegular" w:eastAsia="Times New Roman" w:hAnsi="PTSansRegular" w:cs="Times New Roman"/>
          <w:color w:val="000000"/>
          <w:spacing w:val="2"/>
          <w:sz w:val="24"/>
          <w:szCs w:val="24"/>
          <w:lang w:eastAsia="ru-RU"/>
        </w:rPr>
        <w:t xml:space="preserve"> независимо от места совершения коррупционного правонарушения.</w:t>
      </w:r>
    </w:p>
    <w:p w:rsidR="0081120D" w:rsidRPr="0081120D" w:rsidRDefault="0081120D" w:rsidP="0081120D">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81120D">
        <w:rPr>
          <w:rFonts w:ascii="PTSansRegular" w:eastAsia="Times New Roman" w:hAnsi="PTSansRegular" w:cs="Times New Roman"/>
          <w:color w:val="000000"/>
          <w:spacing w:val="2"/>
          <w:sz w:val="24"/>
          <w:szCs w:val="24"/>
          <w:lang w:eastAsia="ru-RU"/>
        </w:rPr>
        <w:t> </w:t>
      </w:r>
    </w:p>
    <w:p w:rsidR="00E17D37" w:rsidRDefault="0081120D" w:rsidP="0081120D">
      <w:r w:rsidRPr="0081120D">
        <w:rPr>
          <w:rFonts w:ascii="PTSansRegular" w:eastAsia="Times New Roman" w:hAnsi="PTSansRegular" w:cs="Times New Roman"/>
          <w:color w:val="000000"/>
          <w:spacing w:val="2"/>
          <w:sz w:val="24"/>
          <w:szCs w:val="24"/>
          <w:lang w:eastAsia="ru-RU"/>
        </w:rPr>
        <w:br/>
      </w:r>
      <w:r w:rsidRPr="0081120D">
        <w:rPr>
          <w:rFonts w:ascii="PTSansRegular" w:eastAsia="Times New Roman" w:hAnsi="PTSansRegular" w:cs="Times New Roman"/>
          <w:color w:val="000000"/>
          <w:spacing w:val="2"/>
          <w:sz w:val="24"/>
          <w:szCs w:val="24"/>
          <w:lang w:eastAsia="ru-RU"/>
        </w:rPr>
        <w:br/>
      </w:r>
    </w:p>
    <w:sectPr w:rsidR="00E17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9B8"/>
    <w:multiLevelType w:val="multilevel"/>
    <w:tmpl w:val="075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A"/>
    <w:rsid w:val="001810EA"/>
    <w:rsid w:val="0081120D"/>
    <w:rsid w:val="00E17D37"/>
    <w:rsid w:val="00FF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0728">
      <w:bodyDiv w:val="1"/>
      <w:marLeft w:val="0"/>
      <w:marRight w:val="0"/>
      <w:marTop w:val="0"/>
      <w:marBottom w:val="0"/>
      <w:divBdr>
        <w:top w:val="none" w:sz="0" w:space="0" w:color="auto"/>
        <w:left w:val="none" w:sz="0" w:space="0" w:color="auto"/>
        <w:bottom w:val="none" w:sz="0" w:space="0" w:color="auto"/>
        <w:right w:val="none" w:sz="0" w:space="0" w:color="auto"/>
      </w:divBdr>
      <w:divsChild>
        <w:div w:id="1495493861">
          <w:marLeft w:val="0"/>
          <w:marRight w:val="0"/>
          <w:marTop w:val="0"/>
          <w:marBottom w:val="0"/>
          <w:divBdr>
            <w:top w:val="none" w:sz="0" w:space="0" w:color="auto"/>
            <w:left w:val="none" w:sz="0" w:space="0" w:color="auto"/>
            <w:bottom w:val="none" w:sz="0" w:space="0" w:color="auto"/>
            <w:right w:val="none" w:sz="0" w:space="0" w:color="auto"/>
          </w:divBdr>
          <w:divsChild>
            <w:div w:id="15021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2018-12-06T23:37:00Z</dcterms:created>
  <dcterms:modified xsi:type="dcterms:W3CDTF">2018-12-07T00:37:00Z</dcterms:modified>
</cp:coreProperties>
</file>